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E" w:rsidRDefault="00555C1E" w:rsidP="00555C1E">
      <w:pPr>
        <w:jc w:val="center"/>
        <w:rPr>
          <w:rFonts w:ascii="Arial" w:hAnsi="Arial" w:cs="Arial"/>
          <w:b/>
          <w:bCs/>
        </w:rPr>
      </w:pPr>
    </w:p>
    <w:p w:rsidR="00555C1E" w:rsidRPr="00610AF7" w:rsidRDefault="00555C1E" w:rsidP="00555C1E">
      <w:pPr>
        <w:jc w:val="center"/>
        <w:rPr>
          <w:rFonts w:ascii="Arial" w:hAnsi="Arial" w:cs="Arial"/>
          <w:b/>
          <w:bCs/>
        </w:rPr>
      </w:pPr>
      <w:r w:rsidRPr="00610AF7">
        <w:rPr>
          <w:rFonts w:ascii="Arial" w:hAnsi="Arial" w:cs="Arial"/>
          <w:b/>
          <w:bCs/>
        </w:rPr>
        <w:t xml:space="preserve">ALTERAÇÃO CURRICULAR DE CURSO DE GRADUAÇÃO QUE </w:t>
      </w:r>
      <w:r w:rsidRPr="00610AF7">
        <w:rPr>
          <w:rFonts w:ascii="Arial" w:hAnsi="Arial" w:cs="Arial"/>
          <w:b/>
          <w:bCs/>
          <w:i/>
          <w:iCs/>
          <w:u w:val="single"/>
        </w:rPr>
        <w:t>EXIGE</w:t>
      </w:r>
      <w:r w:rsidRPr="00610AF7">
        <w:rPr>
          <w:rFonts w:ascii="Arial" w:hAnsi="Arial" w:cs="Arial"/>
          <w:b/>
          <w:bCs/>
          <w:u w:val="single"/>
        </w:rPr>
        <w:t xml:space="preserve"> </w:t>
      </w:r>
      <w:r w:rsidRPr="00610AF7">
        <w:rPr>
          <w:rFonts w:ascii="Arial" w:hAnsi="Arial" w:cs="Arial"/>
          <w:b/>
          <w:bCs/>
        </w:rPr>
        <w:t>CRIAÇÃO DE NOVO QSL</w:t>
      </w: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Pr="0077051F" w:rsidRDefault="00555C1E" w:rsidP="00555C1E">
      <w:pPr>
        <w:numPr>
          <w:ilvl w:val="0"/>
          <w:numId w:val="1"/>
        </w:numPr>
        <w:rPr>
          <w:rFonts w:ascii="Arial" w:hAnsi="Arial" w:cs="Arial"/>
          <w:bCs/>
        </w:rPr>
      </w:pPr>
      <w:r w:rsidRPr="0077051F">
        <w:rPr>
          <w:rFonts w:ascii="Arial" w:hAnsi="Arial" w:cs="Arial"/>
          <w:b/>
          <w:bCs/>
        </w:rPr>
        <w:t>Proposta de alteração curricular</w:t>
      </w:r>
      <w:r w:rsidRPr="0077051F">
        <w:rPr>
          <w:rFonts w:ascii="Arial" w:hAnsi="Arial" w:cs="Arial"/>
          <w:bCs/>
        </w:rPr>
        <w:t xml:space="preserve"> – aprovada pelo NDE e Conselhos das Unidades Acadêmicas envolvidas.</w:t>
      </w:r>
    </w:p>
    <w:p w:rsidR="00555C1E" w:rsidRPr="0077051F" w:rsidRDefault="00555C1E" w:rsidP="00555C1E">
      <w:pPr>
        <w:rPr>
          <w:rFonts w:ascii="Arial" w:hAnsi="Arial" w:cs="Arial"/>
          <w:bCs/>
        </w:rPr>
      </w:pPr>
    </w:p>
    <w:p w:rsidR="00555C1E" w:rsidRPr="0077051F" w:rsidRDefault="00555C1E" w:rsidP="00555C1E">
      <w:pPr>
        <w:numPr>
          <w:ilvl w:val="0"/>
          <w:numId w:val="2"/>
        </w:numPr>
        <w:rPr>
          <w:rFonts w:ascii="Arial" w:hAnsi="Arial" w:cs="Arial"/>
          <w:bCs/>
        </w:rPr>
      </w:pPr>
      <w:r w:rsidRPr="0077051F">
        <w:rPr>
          <w:rFonts w:ascii="Arial" w:hAnsi="Arial" w:cs="Arial"/>
          <w:b/>
          <w:bCs/>
        </w:rPr>
        <w:t>Encaminhamento da proposta à DIADG/PROGRAD para parecer</w:t>
      </w:r>
      <w:r w:rsidRPr="0077051F">
        <w:rPr>
          <w:rFonts w:ascii="Arial" w:hAnsi="Arial" w:cs="Arial"/>
          <w:bCs/>
        </w:rPr>
        <w:t xml:space="preserve"> – ENTRADA - de acordo com o calendário universitário e das reuniões do COEPEA. </w:t>
      </w:r>
    </w:p>
    <w:p w:rsidR="00555C1E" w:rsidRPr="0077051F" w:rsidRDefault="00555C1E" w:rsidP="00555C1E">
      <w:pPr>
        <w:rPr>
          <w:rFonts w:ascii="Arial" w:hAnsi="Arial" w:cs="Arial"/>
          <w:bCs/>
        </w:rPr>
      </w:pPr>
    </w:p>
    <w:p w:rsidR="00D42DDD" w:rsidRDefault="00D20983" w:rsidP="00D42DDD">
      <w:pPr>
        <w:numPr>
          <w:ilvl w:val="0"/>
          <w:numId w:val="18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D42DDD">
        <w:rPr>
          <w:rFonts w:ascii="Arial" w:hAnsi="Arial" w:cs="Arial"/>
          <w:b/>
          <w:bCs/>
        </w:rPr>
        <w:t>onsulta prévia à legislação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Diretrizes Curriculares Nacionais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Resoluções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Leis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Deliberações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Decretos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PPI e PDI da FURG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RESOLUÇÕES: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Pr="00D20983" w:rsidRDefault="00D42DDD" w:rsidP="00D42DDD">
      <w:pPr>
        <w:spacing w:line="360" w:lineRule="auto"/>
        <w:jc w:val="both"/>
        <w:rPr>
          <w:rFonts w:ascii="Arial" w:hAnsi="Arial" w:cs="Arial"/>
          <w:bCs/>
        </w:rPr>
      </w:pPr>
      <w:r w:rsidRPr="00D20983">
        <w:rPr>
          <w:rFonts w:ascii="TimesNewRomanPS-BoldMT" w:eastAsia="Calibri" w:hAnsi="TimesNewRomanPS-BoldMT" w:cs="TimesNewRomanPS-BoldMT"/>
          <w:bCs/>
        </w:rPr>
        <w:t>- Res. Nº 1,</w:t>
      </w:r>
      <w:proofErr w:type="gramStart"/>
      <w:r w:rsidRPr="00D20983">
        <w:rPr>
          <w:rFonts w:ascii="TimesNewRomanPS-BoldMT" w:eastAsia="Calibri" w:hAnsi="TimesNewRomanPS-BoldMT" w:cs="TimesNewRomanPS-BoldMT"/>
          <w:bCs/>
        </w:rPr>
        <w:t xml:space="preserve">  </w:t>
      </w:r>
      <w:proofErr w:type="gramEnd"/>
      <w:r w:rsidRPr="00D20983">
        <w:rPr>
          <w:rFonts w:ascii="TimesNewRomanPS-BoldMT" w:eastAsia="Calibri" w:hAnsi="TimesNewRomanPS-BoldMT" w:cs="TimesNewRomanPS-BoldMT"/>
          <w:bCs/>
        </w:rPr>
        <w:t>30 de Maio de 2012 (Educação dos Direitos Humanos)</w:t>
      </w:r>
    </w:p>
    <w:p w:rsidR="00D42DDD" w:rsidRDefault="00D42DDD" w:rsidP="00D42DDD">
      <w:pPr>
        <w:numPr>
          <w:ilvl w:val="0"/>
          <w:numId w:val="16"/>
        </w:numPr>
        <w:suppressAutoHyphens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u w:val="single"/>
        </w:rPr>
        <w:t>LICENCIATURA</w:t>
      </w:r>
      <w:r>
        <w:rPr>
          <w:rFonts w:ascii="Arial" w:hAnsi="Arial" w:cs="Arial"/>
        </w:rPr>
        <w:t>: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Res. CNE/CP nº 1 de 2002 (diretrizes</w:t>
      </w:r>
      <w:proofErr w:type="gramStart"/>
      <w:r>
        <w:rPr>
          <w:rFonts w:ascii="Arial" w:hAnsi="Arial" w:cs="Arial"/>
        </w:rPr>
        <w:t>)</w:t>
      </w:r>
      <w:proofErr w:type="gramEnd"/>
    </w:p>
    <w:p w:rsidR="00D42DDD" w:rsidRDefault="00D42DDD" w:rsidP="00D42DDD">
      <w:pPr>
        <w:numPr>
          <w:ilvl w:val="0"/>
          <w:numId w:val="14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Res. CNE/CP nº 2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2002 (carga horária)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u w:val="single"/>
        </w:rPr>
        <w:t>BACHARELADO:</w:t>
      </w:r>
      <w:r>
        <w:rPr>
          <w:rFonts w:ascii="Arial" w:hAnsi="Arial" w:cs="Arial"/>
        </w:rPr>
        <w:t xml:space="preserve"> 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Res. CNE/CES 02/2007 (carga horária</w:t>
      </w:r>
      <w:proofErr w:type="gramStart"/>
      <w:r>
        <w:rPr>
          <w:rFonts w:ascii="Arial" w:hAnsi="Arial" w:cs="Arial"/>
        </w:rPr>
        <w:t>)</w:t>
      </w:r>
      <w:proofErr w:type="gramEnd"/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Leis: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2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Lei Nº 11.645 de 2008 e Res. CNE/CP Nº 01 de 2004 </w:t>
      </w:r>
      <w:proofErr w:type="gramStart"/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</w:t>
      </w:r>
    </w:p>
    <w:p w:rsidR="00D42DDD" w:rsidRDefault="00D42DDD" w:rsidP="00D42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Diretrizes Curriculares Nacionais para a educação das relações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Étnico-raciais e para o ensino de História e Cultura </w:t>
      </w:r>
      <w:proofErr w:type="gramStart"/>
      <w:r>
        <w:rPr>
          <w:rFonts w:ascii="Arial" w:hAnsi="Arial" w:cs="Arial"/>
        </w:rPr>
        <w:t>Afro brasileira</w:t>
      </w:r>
      <w:proofErr w:type="gramEnd"/>
      <w:r>
        <w:rPr>
          <w:rFonts w:ascii="Arial" w:hAnsi="Arial" w:cs="Arial"/>
        </w:rPr>
        <w:t xml:space="preserve"> e Indígena</w:t>
      </w:r>
      <w:r w:rsidR="00D20983">
        <w:rPr>
          <w:rFonts w:ascii="Arial" w:hAnsi="Arial" w:cs="Arial"/>
        </w:rPr>
        <w:t>;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3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Lei Nº 9.795 de </w:t>
      </w:r>
      <w:proofErr w:type="gramStart"/>
      <w:r>
        <w:rPr>
          <w:rFonts w:ascii="Arial" w:hAnsi="Arial" w:cs="Arial"/>
        </w:rPr>
        <w:t>1999 – Decreto</w:t>
      </w:r>
      <w:proofErr w:type="gramEnd"/>
      <w:r>
        <w:rPr>
          <w:rFonts w:ascii="Arial" w:hAnsi="Arial" w:cs="Arial"/>
        </w:rPr>
        <w:t xml:space="preserve"> Nº 4.281 de 2002 – </w:t>
      </w:r>
    </w:p>
    <w:p w:rsidR="00D42DDD" w:rsidRDefault="00D42DDD" w:rsidP="00D42DDD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Dispõe sobre as políticas de Educação Ambiental e dá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providências sobre a inclusão dessa discussão no currículo dos cursos de Graduação</w:t>
      </w:r>
      <w:r w:rsidR="00D20983">
        <w:rPr>
          <w:rFonts w:ascii="Arial" w:hAnsi="Arial" w:cs="Arial"/>
        </w:rPr>
        <w:t>;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Nº 5626 de 2005 – LIBRAS</w:t>
      </w:r>
      <w:r w:rsidR="00D20983">
        <w:rPr>
          <w:rFonts w:ascii="Arial" w:hAnsi="Arial" w:cs="Arial"/>
        </w:rPr>
        <w:t>;</w:t>
      </w:r>
    </w:p>
    <w:p w:rsidR="00D42DDD" w:rsidRDefault="00D42DDD" w:rsidP="00D42DDD">
      <w:pPr>
        <w:jc w:val="both"/>
        <w:rPr>
          <w:rFonts w:ascii="Arial" w:hAnsi="Arial" w:cs="Arial"/>
        </w:rPr>
      </w:pPr>
    </w:p>
    <w:p w:rsidR="00D42DDD" w:rsidRDefault="00D42DDD" w:rsidP="00D42DDD">
      <w:pPr>
        <w:numPr>
          <w:ilvl w:val="0"/>
          <w:numId w:val="15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Deliberação Nº 007/2008 – COEPE</w:t>
      </w:r>
    </w:p>
    <w:p w:rsidR="00D42DDD" w:rsidRDefault="00D42DDD" w:rsidP="00D42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Dispõe sobre apresentação e tramitação de propostas de alteração ou reforma curricular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cursos de graduação. </w:t>
      </w:r>
    </w:p>
    <w:p w:rsidR="00555C1E" w:rsidRPr="0077051F" w:rsidRDefault="00555C1E" w:rsidP="00555C1E">
      <w:pPr>
        <w:rPr>
          <w:rFonts w:ascii="Arial" w:hAnsi="Arial" w:cs="Arial"/>
          <w:bCs/>
        </w:rPr>
      </w:pPr>
    </w:p>
    <w:p w:rsidR="00555C1E" w:rsidRPr="0077051F" w:rsidRDefault="00555C1E" w:rsidP="00555C1E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77051F">
        <w:rPr>
          <w:rFonts w:ascii="Arial" w:hAnsi="Arial" w:cs="Arial"/>
          <w:bCs/>
        </w:rPr>
        <w:lastRenderedPageBreak/>
        <w:t xml:space="preserve"> </w:t>
      </w:r>
      <w:r w:rsidRPr="0077051F">
        <w:rPr>
          <w:rFonts w:ascii="Arial" w:hAnsi="Arial" w:cs="Arial"/>
          <w:b/>
          <w:bCs/>
        </w:rPr>
        <w:t>Orientações para preenchimento do formulário</w:t>
      </w: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77051F" w:rsidRDefault="00555C1E" w:rsidP="001E18A5">
      <w:pPr>
        <w:jc w:val="both"/>
        <w:rPr>
          <w:rFonts w:ascii="Arial" w:hAnsi="Arial" w:cs="Arial"/>
          <w:bCs/>
        </w:rPr>
      </w:pPr>
      <w:r w:rsidRPr="00610AF7">
        <w:rPr>
          <w:rFonts w:ascii="Arial" w:hAnsi="Arial" w:cs="Arial"/>
        </w:rPr>
        <w:t xml:space="preserve">1- </w:t>
      </w:r>
      <w:r w:rsidRPr="00610AF7">
        <w:rPr>
          <w:rFonts w:ascii="Arial" w:hAnsi="Arial" w:cs="Arial"/>
          <w:b/>
          <w:bCs/>
        </w:rPr>
        <w:t>JUSTIFICATIVA DA PROPOSTA</w:t>
      </w:r>
      <w:r w:rsidRPr="0077051F">
        <w:rPr>
          <w:rFonts w:ascii="Arial" w:hAnsi="Arial" w:cs="Arial"/>
          <w:bCs/>
        </w:rPr>
        <w:t>: não poderá ferir os fundamentos e princípios concebidos no PPC do curso. Caso isso ocorra, será necessário apresentar neste item as justificativas e devidas alterações no PPC, para que as mesmas fiquem expressas na deliberação da alteração curricular.</w:t>
      </w:r>
    </w:p>
    <w:p w:rsidR="00555C1E" w:rsidRPr="00610AF7" w:rsidRDefault="00555C1E" w:rsidP="001E18A5">
      <w:pPr>
        <w:jc w:val="both"/>
        <w:rPr>
          <w:rFonts w:ascii="Arial" w:hAnsi="Arial" w:cs="Arial"/>
          <w:b/>
          <w:bCs/>
        </w:rPr>
      </w:pPr>
    </w:p>
    <w:p w:rsidR="00555C1E" w:rsidRDefault="00555C1E" w:rsidP="00555C1E">
      <w:pPr>
        <w:rPr>
          <w:rFonts w:ascii="Arial" w:hAnsi="Arial" w:cs="Arial"/>
          <w:b/>
          <w:bCs/>
        </w:rPr>
      </w:pPr>
      <w:r w:rsidRPr="00610AF7">
        <w:rPr>
          <w:rFonts w:ascii="Arial" w:hAnsi="Arial" w:cs="Arial"/>
        </w:rPr>
        <w:t xml:space="preserve">2- </w:t>
      </w:r>
      <w:r w:rsidRPr="00610AF7">
        <w:rPr>
          <w:rFonts w:ascii="Arial" w:hAnsi="Arial" w:cs="Arial"/>
          <w:b/>
          <w:bCs/>
        </w:rPr>
        <w:t>LISTA DAS OPERAÇÕES REALIZADAS:</w:t>
      </w:r>
    </w:p>
    <w:p w:rsidR="00E5624F" w:rsidRDefault="00E5624F" w:rsidP="00555C1E">
      <w:pPr>
        <w:rPr>
          <w:rFonts w:ascii="Arial" w:hAnsi="Arial" w:cs="Arial"/>
          <w:b/>
          <w:bCs/>
        </w:rPr>
      </w:pPr>
    </w:p>
    <w:p w:rsidR="00E5624F" w:rsidRPr="00D20983" w:rsidRDefault="00E5624F" w:rsidP="00555C1E">
      <w:pPr>
        <w:rPr>
          <w:rFonts w:ascii="Arial" w:hAnsi="Arial" w:cs="Arial"/>
          <w:b/>
          <w:bCs/>
        </w:rPr>
      </w:pPr>
      <w:r w:rsidRPr="00D20983">
        <w:rPr>
          <w:rFonts w:ascii="Arial" w:hAnsi="Arial" w:cs="Arial"/>
          <w:b/>
          <w:bCs/>
        </w:rPr>
        <w:t>2.1. Data de entrada em vigor da proposta de alteração:</w:t>
      </w:r>
    </w:p>
    <w:p w:rsidR="00D81F80" w:rsidRPr="00D20983" w:rsidRDefault="00D81F80" w:rsidP="00555C1E">
      <w:pPr>
        <w:rPr>
          <w:rFonts w:ascii="Arial" w:hAnsi="Arial" w:cs="Arial"/>
          <w:b/>
          <w:bCs/>
        </w:rPr>
      </w:pPr>
    </w:p>
    <w:p w:rsidR="00D81F80" w:rsidRPr="00D20983" w:rsidRDefault="00D81F80" w:rsidP="00D81F80">
      <w:pPr>
        <w:pStyle w:val="Recuodecorpodetexto"/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2"/>
        </w:rPr>
      </w:pPr>
      <w:r w:rsidRPr="00D20983">
        <w:rPr>
          <w:rFonts w:ascii="Arial" w:hAnsi="Arial" w:cs="Arial"/>
          <w:b/>
          <w:szCs w:val="22"/>
        </w:rPr>
        <w:t>2.1.1 Tempo de Integralização:</w:t>
      </w:r>
    </w:p>
    <w:p w:rsidR="00D81F80" w:rsidRPr="00D20983" w:rsidRDefault="00D81F80" w:rsidP="00D81F80">
      <w:pPr>
        <w:pStyle w:val="Recuodecorpodetexto"/>
        <w:tabs>
          <w:tab w:val="left" w:pos="720"/>
        </w:tabs>
        <w:spacing w:line="360" w:lineRule="auto"/>
        <w:ind w:left="570" w:firstLine="0"/>
        <w:jc w:val="both"/>
        <w:rPr>
          <w:rFonts w:ascii="Arial" w:hAnsi="Arial" w:cs="Arial"/>
          <w:szCs w:val="22"/>
        </w:rPr>
      </w:pPr>
      <w:r w:rsidRPr="00D20983">
        <w:rPr>
          <w:rFonts w:ascii="Arial" w:hAnsi="Arial" w:cs="Arial"/>
          <w:szCs w:val="22"/>
        </w:rPr>
        <w:t>Mínimo:</w:t>
      </w:r>
    </w:p>
    <w:p w:rsidR="00D81F80" w:rsidRPr="00D20983" w:rsidRDefault="00D81F80" w:rsidP="00D81F80">
      <w:pPr>
        <w:pStyle w:val="Recuodecorpodetexto"/>
        <w:tabs>
          <w:tab w:val="left" w:pos="720"/>
        </w:tabs>
        <w:spacing w:line="360" w:lineRule="auto"/>
        <w:ind w:left="570" w:firstLine="0"/>
        <w:jc w:val="both"/>
        <w:rPr>
          <w:rFonts w:ascii="Arial" w:hAnsi="Arial" w:cs="Arial"/>
          <w:szCs w:val="22"/>
        </w:rPr>
      </w:pPr>
      <w:r w:rsidRPr="00D20983">
        <w:rPr>
          <w:rFonts w:ascii="Arial" w:hAnsi="Arial" w:cs="Arial"/>
          <w:szCs w:val="22"/>
        </w:rPr>
        <w:t>Máximo:</w:t>
      </w:r>
    </w:p>
    <w:p w:rsidR="00D81F80" w:rsidRPr="00D20983" w:rsidRDefault="00D81F80" w:rsidP="00D81F80">
      <w:pPr>
        <w:pStyle w:val="Recuodecorpodetexto"/>
        <w:tabs>
          <w:tab w:val="left" w:pos="720"/>
        </w:tabs>
        <w:spacing w:line="360" w:lineRule="auto"/>
        <w:ind w:left="570" w:firstLine="0"/>
        <w:jc w:val="both"/>
        <w:rPr>
          <w:rFonts w:ascii="Arial" w:hAnsi="Arial" w:cs="Arial"/>
          <w:szCs w:val="22"/>
        </w:rPr>
      </w:pPr>
    </w:p>
    <w:p w:rsidR="00D81F80" w:rsidRPr="00D20983" w:rsidRDefault="00D81F80" w:rsidP="00D81F80">
      <w:pPr>
        <w:pStyle w:val="Recuodecorpodetexto"/>
        <w:numPr>
          <w:ilvl w:val="2"/>
          <w:numId w:val="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Cs w:val="22"/>
        </w:rPr>
      </w:pPr>
      <w:r w:rsidRPr="00D20983">
        <w:rPr>
          <w:rFonts w:ascii="Arial" w:hAnsi="Arial" w:cs="Arial"/>
          <w:b/>
          <w:szCs w:val="22"/>
        </w:rPr>
        <w:t>Regime Acadêmico:</w:t>
      </w:r>
    </w:p>
    <w:p w:rsidR="00D81F80" w:rsidRPr="00D20983" w:rsidRDefault="00D81F80" w:rsidP="00555C1E">
      <w:pPr>
        <w:rPr>
          <w:rFonts w:ascii="Arial" w:hAnsi="Arial" w:cs="Arial"/>
          <w:b/>
          <w:bCs/>
        </w:rPr>
      </w:pPr>
    </w:p>
    <w:p w:rsidR="00444B98" w:rsidRPr="00D20983" w:rsidRDefault="00444B98" w:rsidP="00555C1E">
      <w:pPr>
        <w:rPr>
          <w:rFonts w:ascii="Arial" w:hAnsi="Arial" w:cs="Arial"/>
          <w:b/>
          <w:bCs/>
        </w:rPr>
      </w:pPr>
    </w:p>
    <w:p w:rsidR="00444B98" w:rsidRPr="00D20983" w:rsidRDefault="00444B98" w:rsidP="00444B98">
      <w:pPr>
        <w:pStyle w:val="PargrafodaLista"/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D20983">
        <w:rPr>
          <w:rFonts w:ascii="Arial" w:hAnsi="Arial" w:cs="Arial"/>
          <w:b/>
          <w:sz w:val="24"/>
          <w:szCs w:val="24"/>
        </w:rPr>
        <w:t>Criação do QSL:</w:t>
      </w:r>
    </w:p>
    <w:p w:rsidR="00444B98" w:rsidRDefault="00444B98" w:rsidP="00444B98">
      <w:pPr>
        <w:pStyle w:val="PargrafodaLista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3969"/>
      </w:tblGrid>
      <w:tr w:rsidR="00444B98" w:rsidRPr="00C553E6" w:rsidTr="008A4B43"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53E6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53E6">
              <w:rPr>
                <w:rFonts w:ascii="Arial" w:hAnsi="Arial" w:cs="Arial"/>
                <w:b/>
              </w:rPr>
              <w:t>CARGA HORÁRIA</w:t>
            </w:r>
          </w:p>
        </w:tc>
      </w:tr>
      <w:tr w:rsidR="00444B98" w:rsidRPr="00C553E6" w:rsidTr="008A4B43">
        <w:trPr>
          <w:trHeight w:val="130"/>
        </w:trPr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  <w:r w:rsidRPr="00C553E6">
              <w:rPr>
                <w:rFonts w:ascii="Arial" w:hAnsi="Arial" w:cs="Arial"/>
              </w:rPr>
              <w:t>Disciplinas Obrigatórias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</w:p>
        </w:tc>
      </w:tr>
      <w:tr w:rsidR="00444B98" w:rsidRPr="00C553E6" w:rsidTr="008A4B43"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  <w:r w:rsidRPr="00C553E6">
              <w:rPr>
                <w:rFonts w:ascii="Arial" w:hAnsi="Arial" w:cs="Arial"/>
              </w:rPr>
              <w:t>Disciplinas Optativas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</w:p>
        </w:tc>
      </w:tr>
      <w:tr w:rsidR="00444B98" w:rsidRPr="00C553E6" w:rsidTr="008A4B43"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rPr>
                <w:rFonts w:ascii="Arial" w:hAnsi="Arial" w:cs="Arial"/>
              </w:rPr>
            </w:pPr>
            <w:r w:rsidRPr="00C553E6">
              <w:rPr>
                <w:rFonts w:ascii="Arial" w:hAnsi="Arial" w:cs="Arial"/>
              </w:rPr>
              <w:t xml:space="preserve">Atividades Complementares </w:t>
            </w:r>
          </w:p>
          <w:p w:rsidR="00444B98" w:rsidRPr="00C553E6" w:rsidRDefault="00444B98" w:rsidP="008A4B43">
            <w:pPr>
              <w:framePr w:hSpace="141" w:wrap="around" w:vAnchor="text" w:hAnchor="margin" w:xAlign="center" w:y="403"/>
              <w:rPr>
                <w:rFonts w:ascii="Arial" w:hAnsi="Arial" w:cs="Arial"/>
              </w:rPr>
            </w:pPr>
            <w:r w:rsidRPr="00C553E6">
              <w:rPr>
                <w:rFonts w:ascii="Arial" w:hAnsi="Arial" w:cs="Arial"/>
              </w:rPr>
              <w:t>(quando for o caso)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</w:p>
        </w:tc>
      </w:tr>
      <w:tr w:rsidR="00444B98" w:rsidRPr="00C553E6" w:rsidTr="008A4B43"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Obrigatório (no caso das licenciaturas)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spacing w:line="360" w:lineRule="auto"/>
              <w:rPr>
                <w:rFonts w:ascii="Arial" w:hAnsi="Arial" w:cs="Arial"/>
              </w:rPr>
            </w:pPr>
          </w:p>
        </w:tc>
      </w:tr>
      <w:tr w:rsidR="00444B98" w:rsidRPr="00C553E6" w:rsidTr="008A4B43">
        <w:tc>
          <w:tcPr>
            <w:tcW w:w="4423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jc w:val="center"/>
              <w:rPr>
                <w:rFonts w:ascii="Arial" w:hAnsi="Arial" w:cs="Arial"/>
                <w:b/>
              </w:rPr>
            </w:pPr>
            <w:r w:rsidRPr="00C553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69" w:type="dxa"/>
          </w:tcPr>
          <w:p w:rsidR="00444B98" w:rsidRPr="00C553E6" w:rsidRDefault="00444B98" w:rsidP="008A4B43">
            <w:pPr>
              <w:framePr w:hSpace="141" w:wrap="around" w:vAnchor="text" w:hAnchor="margin" w:xAlign="center" w:y="403"/>
              <w:rPr>
                <w:rFonts w:ascii="Arial" w:hAnsi="Arial" w:cs="Arial"/>
              </w:rPr>
            </w:pPr>
          </w:p>
        </w:tc>
      </w:tr>
    </w:tbl>
    <w:p w:rsidR="00D81F80" w:rsidRDefault="00D81F80" w:rsidP="00444B98">
      <w:pPr>
        <w:jc w:val="both"/>
        <w:rPr>
          <w:rFonts w:ascii="Arial" w:hAnsi="Arial" w:cs="Arial"/>
          <w:b/>
        </w:rPr>
      </w:pPr>
    </w:p>
    <w:p w:rsidR="00D81F80" w:rsidRDefault="00D81F80" w:rsidP="00444B98">
      <w:pPr>
        <w:jc w:val="both"/>
        <w:rPr>
          <w:rFonts w:ascii="Arial" w:hAnsi="Arial" w:cs="Arial"/>
          <w:b/>
        </w:rPr>
      </w:pPr>
    </w:p>
    <w:p w:rsidR="00D81F80" w:rsidRDefault="00D81F80" w:rsidP="00444B98">
      <w:pPr>
        <w:jc w:val="both"/>
        <w:rPr>
          <w:rFonts w:ascii="Arial" w:hAnsi="Arial" w:cs="Arial"/>
          <w:b/>
        </w:rPr>
      </w:pPr>
    </w:p>
    <w:p w:rsidR="00444B98" w:rsidRPr="00D20983" w:rsidRDefault="00444B98" w:rsidP="00444B98">
      <w:pPr>
        <w:jc w:val="both"/>
        <w:rPr>
          <w:rFonts w:ascii="Arial" w:hAnsi="Arial" w:cs="Arial"/>
        </w:rPr>
      </w:pPr>
      <w:r w:rsidRPr="00C553E6">
        <w:rPr>
          <w:rFonts w:ascii="Arial" w:hAnsi="Arial" w:cs="Arial"/>
          <w:b/>
        </w:rPr>
        <w:t>OBS:</w:t>
      </w:r>
      <w:r w:rsidRPr="00C428CB">
        <w:rPr>
          <w:rFonts w:ascii="Arial" w:hAnsi="Arial" w:cs="Arial"/>
        </w:rPr>
        <w:t xml:space="preserve"> No quadro acima deverá constar toda carga horária dos componentes curriculares exigidos para a integralização do curso. No caso das disciplinas obrigatórias, como por exemplo, </w:t>
      </w:r>
      <w:proofErr w:type="gramStart"/>
      <w:r w:rsidRPr="00C428CB">
        <w:rPr>
          <w:rFonts w:ascii="Arial" w:hAnsi="Arial" w:cs="Arial"/>
        </w:rPr>
        <w:t>Estágio</w:t>
      </w:r>
      <w:r>
        <w:rPr>
          <w:rFonts w:ascii="Arial" w:hAnsi="Arial" w:cs="Arial"/>
        </w:rPr>
        <w:t>,</w:t>
      </w:r>
      <w:r w:rsidRPr="00C428CB">
        <w:rPr>
          <w:rFonts w:ascii="Arial" w:hAnsi="Arial" w:cs="Arial"/>
        </w:rPr>
        <w:t xml:space="preserve"> Trabalho</w:t>
      </w:r>
      <w:proofErr w:type="gramEnd"/>
      <w:r w:rsidRPr="00C428CB">
        <w:rPr>
          <w:rFonts w:ascii="Arial" w:hAnsi="Arial" w:cs="Arial"/>
        </w:rPr>
        <w:t xml:space="preserve"> de Co</w:t>
      </w:r>
      <w:r>
        <w:rPr>
          <w:rFonts w:ascii="Arial" w:hAnsi="Arial" w:cs="Arial"/>
        </w:rPr>
        <w:t xml:space="preserve">nclusão de Curso, Embarque, </w:t>
      </w:r>
      <w:proofErr w:type="spellStart"/>
      <w:r>
        <w:rPr>
          <w:rFonts w:ascii="Arial" w:hAnsi="Arial" w:cs="Arial"/>
        </w:rPr>
        <w:t>etc</w:t>
      </w:r>
      <w:proofErr w:type="spellEnd"/>
      <w:r w:rsidRPr="00C428CB">
        <w:rPr>
          <w:rFonts w:ascii="Arial" w:hAnsi="Arial" w:cs="Arial"/>
        </w:rPr>
        <w:t xml:space="preserve"> (dependerá da especificidade de cada curso) são consideradas componentes obrigatórios e, desta forma, devem constar no cômputo da carga horária de disciplinas obrigatórias.</w:t>
      </w:r>
      <w:r>
        <w:rPr>
          <w:rFonts w:ascii="Arial" w:hAnsi="Arial" w:cs="Arial"/>
        </w:rPr>
        <w:t xml:space="preserve"> Cabe ressaltar, que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destaque do estágio é </w:t>
      </w:r>
      <w:r w:rsidRPr="00D20983">
        <w:rPr>
          <w:rFonts w:ascii="Arial" w:hAnsi="Arial" w:cs="Arial"/>
        </w:rPr>
        <w:t xml:space="preserve">em função da legislação que determina a carga horária para alguns cursos. Aqueles cursos que apresentam as Atividades Complementares devem indicar a carga horária mínima para a integralização do curso. </w:t>
      </w:r>
    </w:p>
    <w:p w:rsidR="00555C1E" w:rsidRDefault="00555C1E" w:rsidP="00555C1E">
      <w:pPr>
        <w:rPr>
          <w:rFonts w:ascii="Arial" w:hAnsi="Arial" w:cs="Arial"/>
        </w:rPr>
      </w:pPr>
    </w:p>
    <w:p w:rsidR="00444B98" w:rsidRPr="00610AF7" w:rsidRDefault="00444B98" w:rsidP="00555C1E">
      <w:pPr>
        <w:rPr>
          <w:rFonts w:ascii="Arial" w:hAnsi="Arial" w:cs="Arial"/>
        </w:rPr>
      </w:pPr>
    </w:p>
    <w:p w:rsidR="00555C1E" w:rsidRPr="00610AF7" w:rsidRDefault="00444B98" w:rsidP="00555C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 w:rsidR="00555C1E" w:rsidRPr="00610AF7">
        <w:rPr>
          <w:rFonts w:ascii="Arial" w:hAnsi="Arial" w:cs="Arial"/>
          <w:b/>
          <w:bCs/>
        </w:rPr>
        <w:t xml:space="preserve">. Inclusão de disciplinas </w:t>
      </w:r>
      <w:r w:rsidR="00555C1E" w:rsidRPr="00610AF7">
        <w:rPr>
          <w:rFonts w:ascii="Arial" w:hAnsi="Arial" w:cs="Arial"/>
          <w:b/>
          <w:bCs/>
          <w:u w:val="single"/>
        </w:rPr>
        <w:t>já existentes</w:t>
      </w:r>
      <w:r w:rsidR="00555C1E" w:rsidRPr="00610AF7">
        <w:rPr>
          <w:rFonts w:ascii="Arial" w:hAnsi="Arial" w:cs="Arial"/>
          <w:b/>
          <w:bCs/>
        </w:rPr>
        <w:t>:</w:t>
      </w:r>
    </w:p>
    <w:p w:rsidR="00555C1E" w:rsidRPr="00610AF7" w:rsidRDefault="00555C1E" w:rsidP="00555C1E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/>
      </w:tblPr>
      <w:tblGrid>
        <w:gridCol w:w="1373"/>
        <w:gridCol w:w="1544"/>
        <w:gridCol w:w="1410"/>
        <w:gridCol w:w="1379"/>
        <w:gridCol w:w="1477"/>
        <w:gridCol w:w="1537"/>
      </w:tblGrid>
      <w:tr w:rsidR="0002591E" w:rsidRPr="0077051F" w:rsidTr="0002591E">
        <w:tc>
          <w:tcPr>
            <w:tcW w:w="1464" w:type="dxa"/>
          </w:tcPr>
          <w:p w:rsidR="0002591E" w:rsidRPr="0077051F" w:rsidRDefault="000259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lastRenderedPageBreak/>
              <w:t>Código</w:t>
            </w:r>
          </w:p>
        </w:tc>
        <w:tc>
          <w:tcPr>
            <w:tcW w:w="1598" w:type="dxa"/>
          </w:tcPr>
          <w:p w:rsidR="0002591E" w:rsidRPr="0077051F" w:rsidRDefault="000259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493" w:type="dxa"/>
          </w:tcPr>
          <w:p w:rsidR="0002591E" w:rsidRPr="0077051F" w:rsidRDefault="000259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469" w:type="dxa"/>
          </w:tcPr>
          <w:p w:rsidR="0002591E" w:rsidRPr="0077051F" w:rsidRDefault="000259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Caráter</w:t>
            </w:r>
          </w:p>
        </w:tc>
        <w:tc>
          <w:tcPr>
            <w:tcW w:w="1546" w:type="dxa"/>
          </w:tcPr>
          <w:p w:rsidR="0002591E" w:rsidRPr="0077051F" w:rsidRDefault="000259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Pré-requisito</w:t>
            </w:r>
          </w:p>
        </w:tc>
        <w:tc>
          <w:tcPr>
            <w:tcW w:w="1150" w:type="dxa"/>
          </w:tcPr>
          <w:p w:rsidR="0002591E" w:rsidRPr="00D20983" w:rsidRDefault="0002591E" w:rsidP="00442B8A">
            <w:pPr>
              <w:rPr>
                <w:rFonts w:ascii="Arial" w:hAnsi="Arial" w:cs="Arial"/>
                <w:b/>
              </w:rPr>
            </w:pPr>
            <w:r w:rsidRPr="00D20983">
              <w:rPr>
                <w:rFonts w:ascii="Arial" w:hAnsi="Arial" w:cs="Arial"/>
                <w:b/>
              </w:rPr>
              <w:t>Impeditiva</w:t>
            </w:r>
            <w:r w:rsidR="00D81F80" w:rsidRPr="00D20983">
              <w:rPr>
                <w:rFonts w:ascii="Arial" w:hAnsi="Arial" w:cs="Arial"/>
                <w:b/>
              </w:rPr>
              <w:t xml:space="preserve">s </w:t>
            </w:r>
            <w:r w:rsidR="00D81F80" w:rsidRPr="00D20983">
              <w:rPr>
                <w:rFonts w:ascii="Arial" w:hAnsi="Arial" w:cs="Arial"/>
                <w:b/>
                <w:sz w:val="16"/>
                <w:szCs w:val="16"/>
              </w:rPr>
              <w:t>(somente para cursos seriados)</w:t>
            </w:r>
          </w:p>
        </w:tc>
      </w:tr>
    </w:tbl>
    <w:p w:rsidR="00555C1E" w:rsidRPr="0077051F" w:rsidRDefault="00555C1E" w:rsidP="00555C1E">
      <w:pPr>
        <w:rPr>
          <w:rFonts w:ascii="Arial" w:hAnsi="Arial" w:cs="Arial"/>
          <w:b/>
        </w:rPr>
      </w:pP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Default="00444B98" w:rsidP="00555C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 w:rsidR="00555C1E" w:rsidRPr="00610AF7">
        <w:rPr>
          <w:rFonts w:ascii="Arial" w:hAnsi="Arial" w:cs="Arial"/>
          <w:b/>
          <w:bCs/>
        </w:rPr>
        <w:t xml:space="preserve">. Criação e inclusão de </w:t>
      </w:r>
      <w:r w:rsidR="00555C1E" w:rsidRPr="00610AF7">
        <w:rPr>
          <w:rFonts w:ascii="Arial" w:hAnsi="Arial" w:cs="Arial"/>
          <w:b/>
          <w:bCs/>
          <w:u w:val="single"/>
        </w:rPr>
        <w:t xml:space="preserve">novas disciplinas </w:t>
      </w:r>
      <w:r w:rsidR="00555C1E" w:rsidRPr="00610AF7">
        <w:rPr>
          <w:rFonts w:ascii="Arial" w:hAnsi="Arial" w:cs="Arial"/>
          <w:b/>
          <w:bCs/>
        </w:rPr>
        <w:t>descritas com as características a seguir:</w:t>
      </w:r>
    </w:p>
    <w:p w:rsidR="00D20983" w:rsidRPr="00610AF7" w:rsidRDefault="00D20983" w:rsidP="00555C1E">
      <w:pPr>
        <w:rPr>
          <w:rFonts w:ascii="Arial" w:hAnsi="Arial" w:cs="Arial"/>
          <w:b/>
          <w:bCs/>
        </w:rPr>
      </w:pPr>
    </w:p>
    <w:p w:rsidR="00555C1E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Exemplo:</w:t>
      </w:r>
    </w:p>
    <w:p w:rsidR="00D20983" w:rsidRPr="00D20983" w:rsidRDefault="00D20983" w:rsidP="00555C1E">
      <w:pPr>
        <w:rPr>
          <w:rFonts w:ascii="Arial" w:hAnsi="Arial" w:cs="Arial"/>
          <w:bCs/>
        </w:rPr>
      </w:pPr>
    </w:p>
    <w:p w:rsidR="00555C1E" w:rsidRPr="00D20983" w:rsidRDefault="00555C1E" w:rsidP="00555C1E">
      <w:pPr>
        <w:rPr>
          <w:rFonts w:ascii="Arial" w:hAnsi="Arial" w:cs="Arial"/>
          <w:bCs/>
          <w:i/>
          <w:iCs/>
        </w:rPr>
      </w:pPr>
      <w:r w:rsidRPr="00D20983">
        <w:rPr>
          <w:rFonts w:ascii="Arial" w:hAnsi="Arial" w:cs="Arial"/>
          <w:bCs/>
        </w:rPr>
        <w:t xml:space="preserve">Disciplina: </w:t>
      </w:r>
      <w:r w:rsidRPr="00D20983">
        <w:rPr>
          <w:rFonts w:ascii="Arial" w:hAnsi="Arial" w:cs="Arial"/>
          <w:bCs/>
          <w:i/>
          <w:iCs/>
        </w:rPr>
        <w:t>Práticas Corporais de Aventura na Natureza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Lotação: Instituto de Educação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Código: a determinar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Duração: Semestral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Caráter: Optativa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Localização no QSL:</w:t>
      </w:r>
      <w:proofErr w:type="gramStart"/>
      <w:r w:rsidRPr="00D20983">
        <w:rPr>
          <w:rFonts w:ascii="Arial" w:hAnsi="Arial" w:cs="Arial"/>
          <w:bCs/>
        </w:rPr>
        <w:t xml:space="preserve">  </w:t>
      </w:r>
      <w:proofErr w:type="gramEnd"/>
      <w:r w:rsidRPr="00D20983">
        <w:rPr>
          <w:rFonts w:ascii="Arial" w:hAnsi="Arial" w:cs="Arial"/>
          <w:bCs/>
        </w:rPr>
        <w:t>5º semestre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Carga horária total: 30 horas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 xml:space="preserve">Carga horária semanal: </w:t>
      </w:r>
      <w:proofErr w:type="gramStart"/>
      <w:r w:rsidRPr="00D20983">
        <w:rPr>
          <w:rFonts w:ascii="Arial" w:hAnsi="Arial" w:cs="Arial"/>
          <w:bCs/>
        </w:rPr>
        <w:t>2</w:t>
      </w:r>
      <w:proofErr w:type="gramEnd"/>
      <w:r w:rsidRPr="00D20983">
        <w:rPr>
          <w:rFonts w:ascii="Arial" w:hAnsi="Arial" w:cs="Arial"/>
          <w:bCs/>
        </w:rPr>
        <w:t xml:space="preserve"> aulas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 xml:space="preserve">Créditos: </w:t>
      </w:r>
      <w:proofErr w:type="gramStart"/>
      <w:r w:rsidRPr="00D20983">
        <w:rPr>
          <w:rFonts w:ascii="Arial" w:hAnsi="Arial" w:cs="Arial"/>
          <w:bCs/>
        </w:rPr>
        <w:t>2</w:t>
      </w:r>
      <w:proofErr w:type="gramEnd"/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Sistema de Avaliação: I</w:t>
      </w:r>
    </w:p>
    <w:p w:rsidR="00555C1E" w:rsidRPr="00D20983" w:rsidRDefault="00555C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Pré-requisito: não tem</w:t>
      </w:r>
    </w:p>
    <w:p w:rsidR="0002591E" w:rsidRPr="00D20983" w:rsidRDefault="0002591E" w:rsidP="00555C1E">
      <w:pPr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>Impeditiva: sim ou não</w:t>
      </w:r>
    </w:p>
    <w:p w:rsidR="00555C1E" w:rsidRPr="00D20983" w:rsidRDefault="00555C1E" w:rsidP="001E18A5">
      <w:pPr>
        <w:jc w:val="both"/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 xml:space="preserve">Ementa: A Educação Física e sua interface com o meio ambiente: conceitos, princípios, campos de aplicação, tipos de práticas, capacidades e habilidades demandadas, assim como equipamentos e normas de segurança. Inclusão pedagógica de práticas corporais em ambientes naturais desenvolvidos a partir de uma abordagem </w:t>
      </w:r>
      <w:proofErr w:type="spellStart"/>
      <w:r w:rsidRPr="00D20983">
        <w:rPr>
          <w:rFonts w:ascii="Arial" w:hAnsi="Arial" w:cs="Arial"/>
          <w:bCs/>
        </w:rPr>
        <w:t>ecoeducativa</w:t>
      </w:r>
      <w:proofErr w:type="spellEnd"/>
      <w:r w:rsidRPr="00D20983">
        <w:rPr>
          <w:rFonts w:ascii="Arial" w:hAnsi="Arial" w:cs="Arial"/>
          <w:bCs/>
        </w:rPr>
        <w:t>.</w:t>
      </w: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444B98" w:rsidP="00444B9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55C1E" w:rsidRPr="00610AF7">
        <w:rPr>
          <w:rFonts w:ascii="Arial" w:hAnsi="Arial" w:cs="Arial"/>
          <w:b/>
          <w:bCs/>
        </w:rPr>
        <w:t>. ESTABELECIMENTO DO PLANO DE EQUIVALÊNCIA DAS DISCIPLINAS:</w:t>
      </w: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1E0"/>
      </w:tblPr>
      <w:tblGrid>
        <w:gridCol w:w="4322"/>
        <w:gridCol w:w="4426"/>
      </w:tblGrid>
      <w:tr w:rsidR="00555C1E" w:rsidRPr="00610AF7" w:rsidTr="00442B8A">
        <w:trPr>
          <w:trHeight w:val="1057"/>
        </w:trPr>
        <w:tc>
          <w:tcPr>
            <w:tcW w:w="4322" w:type="dxa"/>
          </w:tcPr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Disciplina Original</w:t>
            </w:r>
          </w:p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0" w:type="auto"/>
              <w:tblLayout w:type="fixed"/>
              <w:tblLook w:val="01E0"/>
            </w:tblPr>
            <w:tblGrid>
              <w:gridCol w:w="2129"/>
              <w:gridCol w:w="2129"/>
            </w:tblGrid>
            <w:tr w:rsidR="00555C1E" w:rsidRPr="0077051F" w:rsidTr="00442B8A">
              <w:tc>
                <w:tcPr>
                  <w:tcW w:w="2129" w:type="dxa"/>
                </w:tcPr>
                <w:p w:rsidR="00555C1E" w:rsidRPr="0077051F" w:rsidRDefault="00555C1E" w:rsidP="00442B8A">
                  <w:pPr>
                    <w:rPr>
                      <w:rFonts w:ascii="Arial" w:hAnsi="Arial" w:cs="Arial"/>
                      <w:b/>
                    </w:rPr>
                  </w:pPr>
                  <w:r w:rsidRPr="0077051F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  <w:tc>
                <w:tcPr>
                  <w:tcW w:w="2129" w:type="dxa"/>
                </w:tcPr>
                <w:p w:rsidR="00555C1E" w:rsidRPr="0077051F" w:rsidRDefault="00555C1E" w:rsidP="00442B8A">
                  <w:pPr>
                    <w:rPr>
                      <w:rFonts w:ascii="Arial" w:hAnsi="Arial" w:cs="Arial"/>
                      <w:b/>
                    </w:rPr>
                  </w:pPr>
                  <w:r w:rsidRPr="0077051F">
                    <w:rPr>
                      <w:rFonts w:ascii="Arial" w:hAnsi="Arial" w:cs="Arial"/>
                      <w:b/>
                    </w:rPr>
                    <w:t>Nome</w:t>
                  </w:r>
                </w:p>
              </w:tc>
            </w:tr>
          </w:tbl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</w:p>
        </w:tc>
        <w:tc>
          <w:tcPr>
            <w:tcW w:w="4426" w:type="dxa"/>
          </w:tcPr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Disciplina Equivalente</w:t>
            </w:r>
          </w:p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4506" w:type="dxa"/>
              <w:tblLayout w:type="fixed"/>
              <w:tblLook w:val="01E0"/>
            </w:tblPr>
            <w:tblGrid>
              <w:gridCol w:w="2129"/>
              <w:gridCol w:w="2377"/>
            </w:tblGrid>
            <w:tr w:rsidR="00555C1E" w:rsidRPr="0077051F" w:rsidTr="00442B8A">
              <w:tc>
                <w:tcPr>
                  <w:tcW w:w="2129" w:type="dxa"/>
                </w:tcPr>
                <w:p w:rsidR="00555C1E" w:rsidRPr="0077051F" w:rsidRDefault="00555C1E" w:rsidP="00442B8A">
                  <w:pPr>
                    <w:rPr>
                      <w:rFonts w:ascii="Arial" w:hAnsi="Arial" w:cs="Arial"/>
                      <w:b/>
                    </w:rPr>
                  </w:pPr>
                  <w:r w:rsidRPr="0077051F">
                    <w:rPr>
                      <w:rFonts w:ascii="Arial" w:hAnsi="Arial" w:cs="Arial"/>
                      <w:b/>
                    </w:rPr>
                    <w:t>Código (se houver)</w:t>
                  </w:r>
                </w:p>
              </w:tc>
              <w:tc>
                <w:tcPr>
                  <w:tcW w:w="2377" w:type="dxa"/>
                </w:tcPr>
                <w:p w:rsidR="00555C1E" w:rsidRPr="0077051F" w:rsidRDefault="00555C1E" w:rsidP="00442B8A">
                  <w:pPr>
                    <w:rPr>
                      <w:rFonts w:ascii="Arial" w:hAnsi="Arial" w:cs="Arial"/>
                      <w:b/>
                    </w:rPr>
                  </w:pPr>
                  <w:r w:rsidRPr="0077051F">
                    <w:rPr>
                      <w:rFonts w:ascii="Arial" w:hAnsi="Arial" w:cs="Arial"/>
                      <w:b/>
                    </w:rPr>
                    <w:t>Nome</w:t>
                  </w:r>
                </w:p>
              </w:tc>
            </w:tr>
          </w:tbl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</w:p>
        </w:tc>
      </w:tr>
    </w:tbl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555C1E" w:rsidP="00444B98">
      <w:pPr>
        <w:jc w:val="both"/>
        <w:rPr>
          <w:rFonts w:ascii="Arial" w:hAnsi="Arial" w:cs="Arial"/>
        </w:rPr>
      </w:pPr>
    </w:p>
    <w:p w:rsidR="00555C1E" w:rsidRPr="00610AF7" w:rsidRDefault="00444B98" w:rsidP="00444B9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55C1E" w:rsidRPr="00610AF7">
        <w:rPr>
          <w:rFonts w:ascii="Arial" w:hAnsi="Arial" w:cs="Arial"/>
          <w:b/>
          <w:bCs/>
        </w:rPr>
        <w:t>.1. Para os cursos de licenciatura – apresentação de um quadro com as disciplinas que possuem carga horária de prática pedagógica</w:t>
      </w:r>
      <w:r>
        <w:rPr>
          <w:rFonts w:ascii="Arial" w:hAnsi="Arial" w:cs="Arial"/>
          <w:b/>
          <w:bCs/>
        </w:rPr>
        <w:t>.</w:t>
      </w:r>
      <w:r w:rsidR="00555C1E" w:rsidRPr="00610AF7">
        <w:rPr>
          <w:rFonts w:ascii="Arial" w:hAnsi="Arial" w:cs="Arial"/>
          <w:b/>
          <w:bCs/>
        </w:rPr>
        <w:t xml:space="preserve"> </w:t>
      </w: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Pr="00610AF7" w:rsidRDefault="00555C1E" w:rsidP="00555C1E">
      <w:pPr>
        <w:jc w:val="center"/>
        <w:rPr>
          <w:rFonts w:ascii="Arial" w:hAnsi="Arial" w:cs="Arial"/>
          <w:b/>
          <w:bCs/>
        </w:rPr>
      </w:pPr>
      <w:r w:rsidRPr="00610AF7">
        <w:rPr>
          <w:rFonts w:ascii="Arial" w:hAnsi="Arial" w:cs="Arial"/>
          <w:b/>
          <w:bCs/>
        </w:rPr>
        <w:t>QUADRO DE DISCIPLINAS COM CARGA HORÁRIA DE PRÁTICA PEDAGÓGICA</w:t>
      </w: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555C1E" w:rsidP="00555C1E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/>
      </w:tblPr>
      <w:tblGrid>
        <w:gridCol w:w="4355"/>
        <w:gridCol w:w="4365"/>
      </w:tblGrid>
      <w:tr w:rsidR="00555C1E" w:rsidRPr="00610AF7" w:rsidTr="00442B8A">
        <w:tc>
          <w:tcPr>
            <w:tcW w:w="4489" w:type="dxa"/>
          </w:tcPr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4489" w:type="dxa"/>
          </w:tcPr>
          <w:p w:rsidR="00555C1E" w:rsidRPr="0077051F" w:rsidRDefault="00555C1E" w:rsidP="00442B8A">
            <w:pPr>
              <w:rPr>
                <w:rFonts w:ascii="Arial" w:hAnsi="Arial" w:cs="Arial"/>
                <w:b/>
              </w:rPr>
            </w:pPr>
            <w:r w:rsidRPr="0077051F">
              <w:rPr>
                <w:rFonts w:ascii="Arial" w:hAnsi="Arial" w:cs="Arial"/>
                <w:b/>
              </w:rPr>
              <w:t>C. H. Prática Pedagógica</w:t>
            </w:r>
          </w:p>
        </w:tc>
      </w:tr>
    </w:tbl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555C1E" w:rsidP="00555C1E">
      <w:pPr>
        <w:rPr>
          <w:rFonts w:ascii="Arial" w:hAnsi="Arial" w:cs="Arial"/>
        </w:rPr>
      </w:pPr>
    </w:p>
    <w:p w:rsidR="00555C1E" w:rsidRPr="00610AF7" w:rsidRDefault="00444B98" w:rsidP="00555C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55C1E" w:rsidRPr="00610AF7">
        <w:rPr>
          <w:rFonts w:ascii="Arial" w:hAnsi="Arial" w:cs="Arial"/>
          <w:b/>
          <w:bCs/>
        </w:rPr>
        <w:t>. ESTABELECIMENTO DO PLANO DE EXTINÇÃO:</w:t>
      </w: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Pr="0077051F" w:rsidRDefault="00444B98" w:rsidP="001E18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="00555C1E" w:rsidRPr="0077051F">
        <w:rPr>
          <w:rFonts w:ascii="Arial" w:hAnsi="Arial" w:cs="Arial"/>
          <w:bCs/>
        </w:rPr>
        <w:t>.1.</w:t>
      </w:r>
      <w:r w:rsidR="00555C1E" w:rsidRPr="00610AF7">
        <w:rPr>
          <w:rFonts w:ascii="Arial" w:hAnsi="Arial" w:cs="Arial"/>
          <w:b/>
          <w:bCs/>
        </w:rPr>
        <w:t xml:space="preserve"> </w:t>
      </w:r>
      <w:r w:rsidR="00555C1E" w:rsidRPr="0077051F">
        <w:rPr>
          <w:rFonts w:ascii="Arial" w:hAnsi="Arial" w:cs="Arial"/>
          <w:bCs/>
        </w:rPr>
        <w:t>Migração dos alunos para o novo QSL proposto – observação determinando a desativação do QSL antigo a partir de tal período letivo.</w:t>
      </w:r>
    </w:p>
    <w:p w:rsidR="00555C1E" w:rsidRPr="0077051F" w:rsidRDefault="00555C1E" w:rsidP="001E18A5">
      <w:pPr>
        <w:jc w:val="both"/>
        <w:rPr>
          <w:rFonts w:ascii="Arial" w:hAnsi="Arial" w:cs="Arial"/>
          <w:bCs/>
        </w:rPr>
      </w:pPr>
    </w:p>
    <w:p w:rsidR="00555C1E" w:rsidRPr="0077051F" w:rsidRDefault="00444B98" w:rsidP="001E18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555C1E" w:rsidRPr="0077051F">
        <w:rPr>
          <w:rFonts w:ascii="Arial" w:hAnsi="Arial" w:cs="Arial"/>
          <w:bCs/>
        </w:rPr>
        <w:t xml:space="preserve">.2. No caso do QSL antigo entrar em processo de extinção – estabelecimento de que até período letivo as disciplinas, de cada semestre/ano serão ofertadas para os alunos já em curso. Os alunos que não conseguirem integralizar o QSL em vigor até a data estabelecida pelo plano de extinção, migrarão obrigatoriamente para a atual proposta do curso. </w:t>
      </w:r>
    </w:p>
    <w:p w:rsidR="00555C1E" w:rsidRPr="00610AF7" w:rsidRDefault="00555C1E" w:rsidP="001E18A5">
      <w:pPr>
        <w:jc w:val="both"/>
        <w:rPr>
          <w:rFonts w:ascii="Arial" w:hAnsi="Arial" w:cs="Arial"/>
          <w:b/>
          <w:bCs/>
        </w:rPr>
      </w:pPr>
    </w:p>
    <w:p w:rsidR="00555C1E" w:rsidRPr="0077051F" w:rsidRDefault="00555C1E" w:rsidP="001E18A5">
      <w:pPr>
        <w:jc w:val="both"/>
        <w:rPr>
          <w:rFonts w:ascii="Arial" w:hAnsi="Arial" w:cs="Arial"/>
          <w:bCs/>
        </w:rPr>
      </w:pPr>
      <w:r w:rsidRPr="00610AF7">
        <w:rPr>
          <w:rFonts w:ascii="Arial" w:hAnsi="Arial" w:cs="Arial"/>
          <w:b/>
          <w:bCs/>
        </w:rPr>
        <w:t xml:space="preserve">OBS: </w:t>
      </w:r>
      <w:r w:rsidRPr="0077051F">
        <w:rPr>
          <w:rFonts w:ascii="Arial" w:hAnsi="Arial" w:cs="Arial"/>
          <w:bCs/>
        </w:rPr>
        <w:t>O curso que tiver plano de extinção em andamento, o coordenador precisará informar ao registro</w:t>
      </w:r>
      <w:r w:rsidR="00444B98">
        <w:rPr>
          <w:rFonts w:ascii="Arial" w:hAnsi="Arial" w:cs="Arial"/>
          <w:bCs/>
        </w:rPr>
        <w:t xml:space="preserve"> acadêmico, os casos de alunos </w:t>
      </w:r>
      <w:r w:rsidRPr="0077051F">
        <w:rPr>
          <w:rFonts w:ascii="Arial" w:hAnsi="Arial" w:cs="Arial"/>
          <w:bCs/>
        </w:rPr>
        <w:t>que deverão ser enquadrados no novo QSL.</w:t>
      </w:r>
    </w:p>
    <w:p w:rsidR="00555C1E" w:rsidRPr="00610AF7" w:rsidRDefault="00555C1E" w:rsidP="001E18A5">
      <w:pPr>
        <w:jc w:val="both"/>
        <w:rPr>
          <w:rFonts w:ascii="Arial" w:hAnsi="Arial" w:cs="Arial"/>
        </w:rPr>
      </w:pPr>
    </w:p>
    <w:p w:rsidR="00555C1E" w:rsidRPr="00610AF7" w:rsidRDefault="00555C1E" w:rsidP="001E18A5">
      <w:pPr>
        <w:jc w:val="both"/>
        <w:rPr>
          <w:rFonts w:ascii="Arial" w:hAnsi="Arial" w:cs="Arial"/>
        </w:rPr>
      </w:pPr>
    </w:p>
    <w:p w:rsidR="00555C1E" w:rsidRPr="00610AF7" w:rsidRDefault="00555C1E" w:rsidP="00444B98">
      <w:pPr>
        <w:jc w:val="both"/>
        <w:rPr>
          <w:rFonts w:ascii="Arial" w:hAnsi="Arial" w:cs="Arial"/>
          <w:b/>
          <w:bCs/>
        </w:rPr>
      </w:pPr>
      <w:r w:rsidRPr="00610AF7">
        <w:rPr>
          <w:rFonts w:ascii="Arial" w:hAnsi="Arial" w:cs="Arial"/>
          <w:b/>
          <w:bCs/>
        </w:rPr>
        <w:t>É necessário desativar o quadro do curso – código (</w:t>
      </w:r>
      <w:proofErr w:type="spellStart"/>
      <w:r w:rsidRPr="00610AF7">
        <w:rPr>
          <w:rFonts w:ascii="Arial" w:hAnsi="Arial" w:cs="Arial"/>
          <w:b/>
          <w:bCs/>
        </w:rPr>
        <w:t>xxxx</w:t>
      </w:r>
      <w:proofErr w:type="spellEnd"/>
      <w:r w:rsidRPr="00610AF7">
        <w:rPr>
          <w:rFonts w:ascii="Arial" w:hAnsi="Arial" w:cs="Arial"/>
          <w:b/>
          <w:bCs/>
        </w:rPr>
        <w:t>) que será extinto.</w:t>
      </w: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Pr="00610AF7" w:rsidRDefault="00555C1E" w:rsidP="00555C1E">
      <w:pPr>
        <w:rPr>
          <w:rFonts w:ascii="Arial" w:hAnsi="Arial" w:cs="Arial"/>
          <w:b/>
          <w:bCs/>
        </w:rPr>
      </w:pPr>
    </w:p>
    <w:p w:rsidR="00555C1E" w:rsidRDefault="00555C1E" w:rsidP="00444B98">
      <w:pPr>
        <w:jc w:val="center"/>
        <w:rPr>
          <w:rFonts w:ascii="Arial" w:hAnsi="Arial" w:cs="Arial"/>
          <w:b/>
          <w:bCs/>
        </w:rPr>
      </w:pPr>
      <w:r w:rsidRPr="00610AF7">
        <w:rPr>
          <w:rFonts w:ascii="Arial" w:hAnsi="Arial" w:cs="Arial"/>
          <w:b/>
          <w:bCs/>
        </w:rPr>
        <w:t>OBSERVAÇÕES IMPORTANTES:</w:t>
      </w:r>
    </w:p>
    <w:p w:rsidR="00444B98" w:rsidRPr="00610AF7" w:rsidRDefault="00444B98" w:rsidP="00555C1E">
      <w:pPr>
        <w:rPr>
          <w:rFonts w:ascii="Arial" w:hAnsi="Arial" w:cs="Arial"/>
          <w:b/>
          <w:bCs/>
        </w:rPr>
      </w:pPr>
    </w:p>
    <w:p w:rsidR="00555C1E" w:rsidRPr="00D20983" w:rsidRDefault="00555C1E" w:rsidP="001E18A5">
      <w:pPr>
        <w:jc w:val="both"/>
        <w:rPr>
          <w:rFonts w:ascii="Arial" w:hAnsi="Arial" w:cs="Arial"/>
          <w:bCs/>
        </w:rPr>
      </w:pPr>
      <w:r w:rsidRPr="00D20983">
        <w:rPr>
          <w:rFonts w:ascii="Arial" w:hAnsi="Arial" w:cs="Arial"/>
          <w:bCs/>
        </w:rPr>
        <w:t xml:space="preserve"> - Quando houver restrição de máxima carga horária semanal em que o aluno pode ser matriculado, isto deve ser explicitado na estrutura do curso, bem como as situações de exceção em que tal carga horária possa ser ultrapassada.</w:t>
      </w:r>
    </w:p>
    <w:p w:rsidR="00555C1E" w:rsidRPr="00610AF7" w:rsidRDefault="00555C1E" w:rsidP="001E18A5">
      <w:pPr>
        <w:jc w:val="both"/>
        <w:rPr>
          <w:rFonts w:ascii="Arial" w:hAnsi="Arial" w:cs="Arial"/>
        </w:rPr>
      </w:pPr>
    </w:p>
    <w:p w:rsidR="00555C1E" w:rsidRPr="00610AF7" w:rsidRDefault="00555C1E" w:rsidP="001E18A5">
      <w:pPr>
        <w:jc w:val="both"/>
        <w:rPr>
          <w:rFonts w:ascii="Arial" w:hAnsi="Arial" w:cs="Arial"/>
        </w:rPr>
      </w:pPr>
    </w:p>
    <w:p w:rsidR="001E18A5" w:rsidRDefault="00555C1E" w:rsidP="001E18A5">
      <w:pPr>
        <w:jc w:val="both"/>
        <w:rPr>
          <w:rFonts w:ascii="Arial" w:hAnsi="Arial" w:cs="Arial"/>
        </w:rPr>
      </w:pPr>
      <w:r w:rsidRPr="00610AF7">
        <w:rPr>
          <w:rFonts w:ascii="Arial" w:hAnsi="Arial" w:cs="Arial"/>
        </w:rPr>
        <w:t xml:space="preserve">- Nos cursos EAD ou de outros projetos de curso </w:t>
      </w:r>
      <w:proofErr w:type="gramStart"/>
      <w:r w:rsidRPr="00610AF7">
        <w:rPr>
          <w:rFonts w:ascii="Arial" w:hAnsi="Arial" w:cs="Arial"/>
        </w:rPr>
        <w:t>sob oferta</w:t>
      </w:r>
      <w:proofErr w:type="gramEnd"/>
      <w:r w:rsidRPr="00610AF7">
        <w:rPr>
          <w:rFonts w:ascii="Arial" w:hAnsi="Arial" w:cs="Arial"/>
        </w:rPr>
        <w:t xml:space="preserve"> especial além de serem seguidas essas normas, devem ser descritas as metodologias e procedimentos específicos.</w:t>
      </w:r>
    </w:p>
    <w:p w:rsidR="001E18A5" w:rsidRDefault="001E18A5" w:rsidP="001E18A5">
      <w:pPr>
        <w:jc w:val="both"/>
        <w:rPr>
          <w:rFonts w:ascii="Arial" w:hAnsi="Arial" w:cs="Arial"/>
        </w:rPr>
      </w:pPr>
    </w:p>
    <w:p w:rsidR="00555C1E" w:rsidRPr="00610AF7" w:rsidRDefault="001E18A5" w:rsidP="001E18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5C1E" w:rsidRPr="00610AF7">
        <w:rPr>
          <w:rFonts w:ascii="Arial" w:hAnsi="Arial" w:cs="Arial"/>
        </w:rPr>
        <w:t xml:space="preserve"> No caso dos cursos que não tenham o Projeto Pedagógico já descrito nos moldes do art. 2º da </w:t>
      </w:r>
      <w:proofErr w:type="spellStart"/>
      <w:r w:rsidR="00555C1E" w:rsidRPr="00610AF7">
        <w:rPr>
          <w:rFonts w:ascii="Arial" w:hAnsi="Arial" w:cs="Arial"/>
        </w:rPr>
        <w:t>Delib</w:t>
      </w:r>
      <w:proofErr w:type="spellEnd"/>
      <w:r w:rsidR="00555C1E" w:rsidRPr="00610AF7">
        <w:rPr>
          <w:rFonts w:ascii="Arial" w:hAnsi="Arial" w:cs="Arial"/>
        </w:rPr>
        <w:t>. 006/2008 – exigência da descrição do Curso em sua nova configuração seguindo aquela Deliberação, como complementação.</w:t>
      </w:r>
    </w:p>
    <w:p w:rsidR="00555C1E" w:rsidRPr="00610AF7" w:rsidRDefault="00555C1E" w:rsidP="001E18A5">
      <w:pPr>
        <w:jc w:val="both"/>
        <w:rPr>
          <w:rFonts w:ascii="Arial" w:hAnsi="Arial" w:cs="Arial"/>
        </w:rPr>
      </w:pPr>
    </w:p>
    <w:p w:rsidR="00555C1E" w:rsidRPr="00610AF7" w:rsidRDefault="00555C1E" w:rsidP="00555C1E">
      <w:pPr>
        <w:jc w:val="center"/>
        <w:rPr>
          <w:rFonts w:ascii="Arial" w:hAnsi="Arial" w:cs="Arial"/>
        </w:rPr>
      </w:pPr>
    </w:p>
    <w:p w:rsidR="00555C1E" w:rsidRPr="0077051F" w:rsidRDefault="00666570" w:rsidP="00555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55C1E" w:rsidRPr="0077051F">
        <w:rPr>
          <w:rFonts w:ascii="Arial" w:hAnsi="Arial" w:cs="Arial"/>
          <w:b/>
        </w:rPr>
        <w:t>. ANEXOS:</w:t>
      </w:r>
    </w:p>
    <w:p w:rsidR="00555C1E" w:rsidRPr="0077051F" w:rsidRDefault="00555C1E" w:rsidP="00555C1E">
      <w:pPr>
        <w:rPr>
          <w:rFonts w:ascii="Arial" w:hAnsi="Arial" w:cs="Arial"/>
          <w:b/>
        </w:rPr>
      </w:pPr>
    </w:p>
    <w:p w:rsidR="00555C1E" w:rsidRPr="00610AF7" w:rsidRDefault="00666570" w:rsidP="00444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5C1E" w:rsidRPr="00610AF7">
        <w:rPr>
          <w:rFonts w:ascii="Arial" w:hAnsi="Arial" w:cs="Arial"/>
        </w:rPr>
        <w:t>.1. Quadro de sequência lógica incluindo resumo da carga horária total, obrigatória e optativa.</w:t>
      </w:r>
    </w:p>
    <w:p w:rsidR="00555C1E" w:rsidRPr="00610AF7" w:rsidRDefault="00555C1E" w:rsidP="00444B98">
      <w:pPr>
        <w:jc w:val="both"/>
        <w:rPr>
          <w:rFonts w:ascii="Arial" w:hAnsi="Arial" w:cs="Arial"/>
        </w:rPr>
      </w:pPr>
    </w:p>
    <w:p w:rsidR="00555C1E" w:rsidRPr="00610AF7" w:rsidRDefault="00666570" w:rsidP="00444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2851">
        <w:rPr>
          <w:rFonts w:ascii="Arial" w:hAnsi="Arial" w:cs="Arial"/>
        </w:rPr>
        <w:t>.2</w:t>
      </w:r>
      <w:r w:rsidR="00555C1E" w:rsidRPr="00610AF7">
        <w:rPr>
          <w:rFonts w:ascii="Arial" w:hAnsi="Arial" w:cs="Arial"/>
        </w:rPr>
        <w:t xml:space="preserve">. Ata da </w:t>
      </w:r>
      <w:r w:rsidR="00444B98">
        <w:rPr>
          <w:rFonts w:ascii="Arial" w:hAnsi="Arial" w:cs="Arial"/>
        </w:rPr>
        <w:t>reunião do Conselho da Unidade de lotação do curso</w:t>
      </w:r>
      <w:r w:rsidR="00555C1E" w:rsidRPr="00610AF7">
        <w:rPr>
          <w:rFonts w:ascii="Arial" w:hAnsi="Arial" w:cs="Arial"/>
        </w:rPr>
        <w:t xml:space="preserve"> em que foi aprovada a alteração.</w:t>
      </w:r>
    </w:p>
    <w:p w:rsidR="00555C1E" w:rsidRPr="00610AF7" w:rsidRDefault="00555C1E" w:rsidP="00444B98">
      <w:pPr>
        <w:jc w:val="both"/>
        <w:rPr>
          <w:rFonts w:ascii="Arial" w:hAnsi="Arial" w:cs="Arial"/>
        </w:rPr>
      </w:pPr>
    </w:p>
    <w:p w:rsidR="00555C1E" w:rsidRPr="00610AF7" w:rsidRDefault="00666570" w:rsidP="00444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2851">
        <w:rPr>
          <w:rFonts w:ascii="Arial" w:hAnsi="Arial" w:cs="Arial"/>
        </w:rPr>
        <w:t>.3</w:t>
      </w:r>
      <w:r w:rsidR="00555C1E" w:rsidRPr="00610AF7">
        <w:rPr>
          <w:rFonts w:ascii="Arial" w:hAnsi="Arial" w:cs="Arial"/>
        </w:rPr>
        <w:t xml:space="preserve">. Ata(s) da(s) </w:t>
      </w:r>
      <w:proofErr w:type="gramStart"/>
      <w:r w:rsidR="00555C1E" w:rsidRPr="00610AF7">
        <w:rPr>
          <w:rFonts w:ascii="Arial" w:hAnsi="Arial" w:cs="Arial"/>
        </w:rPr>
        <w:t>reunião(</w:t>
      </w:r>
      <w:proofErr w:type="spellStart"/>
      <w:proofErr w:type="gramEnd"/>
      <w:r w:rsidR="00555C1E" w:rsidRPr="00610AF7">
        <w:rPr>
          <w:rFonts w:ascii="Arial" w:hAnsi="Arial" w:cs="Arial"/>
        </w:rPr>
        <w:t>ões</w:t>
      </w:r>
      <w:proofErr w:type="spellEnd"/>
      <w:r w:rsidR="00555C1E" w:rsidRPr="00610AF7">
        <w:rPr>
          <w:rFonts w:ascii="Arial" w:hAnsi="Arial" w:cs="Arial"/>
        </w:rPr>
        <w:t>) do(s) Conselho(s) da(s) Unidade(s) envolvida(s), em que foi (foram) aprovada(s) a(s) alteração(</w:t>
      </w:r>
      <w:proofErr w:type="spellStart"/>
      <w:r w:rsidR="00555C1E" w:rsidRPr="00610AF7">
        <w:rPr>
          <w:rFonts w:ascii="Arial" w:hAnsi="Arial" w:cs="Arial"/>
        </w:rPr>
        <w:t>ões</w:t>
      </w:r>
      <w:proofErr w:type="spellEnd"/>
      <w:r w:rsidR="00555C1E" w:rsidRPr="00610AF7">
        <w:rPr>
          <w:rFonts w:ascii="Arial" w:hAnsi="Arial" w:cs="Arial"/>
        </w:rPr>
        <w:t>) que a(s) afeta(afetam) diretamente.</w:t>
      </w:r>
    </w:p>
    <w:p w:rsidR="00555C1E" w:rsidRPr="00610AF7" w:rsidRDefault="00555C1E" w:rsidP="00444B98">
      <w:pPr>
        <w:jc w:val="both"/>
        <w:rPr>
          <w:rFonts w:ascii="Arial" w:hAnsi="Arial" w:cs="Arial"/>
        </w:rPr>
      </w:pPr>
    </w:p>
    <w:p w:rsidR="000939D0" w:rsidRDefault="00666570" w:rsidP="0009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2851">
        <w:rPr>
          <w:rFonts w:ascii="Arial" w:hAnsi="Arial" w:cs="Arial"/>
        </w:rPr>
        <w:t>.4</w:t>
      </w:r>
      <w:r w:rsidR="00555C1E" w:rsidRPr="00610AF7">
        <w:rPr>
          <w:rFonts w:ascii="Arial" w:hAnsi="Arial" w:cs="Arial"/>
        </w:rPr>
        <w:t xml:space="preserve">. </w:t>
      </w:r>
      <w:r w:rsidR="000939D0">
        <w:rPr>
          <w:rFonts w:ascii="Arial" w:hAnsi="Arial" w:cs="Arial"/>
        </w:rPr>
        <w:t xml:space="preserve">Cópia em CD, ou por e-mail, em Word, do formulário que consta no processo. </w:t>
      </w:r>
    </w:p>
    <w:p w:rsidR="00555C1E" w:rsidRPr="00610AF7" w:rsidRDefault="00555C1E" w:rsidP="00582851">
      <w:pPr>
        <w:jc w:val="both"/>
        <w:rPr>
          <w:rFonts w:ascii="Arial" w:hAnsi="Arial" w:cs="Arial"/>
        </w:rPr>
      </w:pPr>
    </w:p>
    <w:p w:rsidR="003279EE" w:rsidRDefault="003279EE"/>
    <w:sectPr w:rsidR="003279EE" w:rsidSect="00327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101E003F"/>
    <w:multiLevelType w:val="multilevel"/>
    <w:tmpl w:val="2AD22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617B12"/>
    <w:multiLevelType w:val="hybridMultilevel"/>
    <w:tmpl w:val="8736887C"/>
    <w:lvl w:ilvl="0" w:tplc="8528D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B0D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8B04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EA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DDA7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57AF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B8A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62A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CDCC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>
    <w:nsid w:val="2E662AB7"/>
    <w:multiLevelType w:val="multilevel"/>
    <w:tmpl w:val="EE7A4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890DDD"/>
    <w:multiLevelType w:val="hybridMultilevel"/>
    <w:tmpl w:val="156C0F9E"/>
    <w:lvl w:ilvl="0" w:tplc="82183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685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27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0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EC8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80D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A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62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4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22EA0"/>
    <w:multiLevelType w:val="hybridMultilevel"/>
    <w:tmpl w:val="C834FBD8"/>
    <w:lvl w:ilvl="0" w:tplc="30BAC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458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2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3B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E3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24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C2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45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E3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9158D"/>
    <w:multiLevelType w:val="multilevel"/>
    <w:tmpl w:val="D4E01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57435F"/>
    <w:multiLevelType w:val="multilevel"/>
    <w:tmpl w:val="C7A0C4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205439"/>
    <w:multiLevelType w:val="hybridMultilevel"/>
    <w:tmpl w:val="D0CCB0A0"/>
    <w:lvl w:ilvl="0" w:tplc="84F4EB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23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845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EE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A1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E63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62C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E14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CF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A3926"/>
    <w:multiLevelType w:val="hybridMultilevel"/>
    <w:tmpl w:val="4F9C9916"/>
    <w:lvl w:ilvl="0" w:tplc="8CC85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48D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65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C22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263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875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2A9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A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E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1E"/>
    <w:rsid w:val="0002591E"/>
    <w:rsid w:val="00065E72"/>
    <w:rsid w:val="000939D0"/>
    <w:rsid w:val="001E18A5"/>
    <w:rsid w:val="002C1689"/>
    <w:rsid w:val="00312098"/>
    <w:rsid w:val="003279EE"/>
    <w:rsid w:val="003316E3"/>
    <w:rsid w:val="003832F7"/>
    <w:rsid w:val="00386142"/>
    <w:rsid w:val="00394796"/>
    <w:rsid w:val="00444B98"/>
    <w:rsid w:val="00453EC3"/>
    <w:rsid w:val="00555C1E"/>
    <w:rsid w:val="00582851"/>
    <w:rsid w:val="00614418"/>
    <w:rsid w:val="00666570"/>
    <w:rsid w:val="00975D11"/>
    <w:rsid w:val="009C1F11"/>
    <w:rsid w:val="00A96729"/>
    <w:rsid w:val="00AA16AB"/>
    <w:rsid w:val="00BF03D9"/>
    <w:rsid w:val="00BF4F05"/>
    <w:rsid w:val="00C758B3"/>
    <w:rsid w:val="00D20983"/>
    <w:rsid w:val="00D42DDD"/>
    <w:rsid w:val="00D81F80"/>
    <w:rsid w:val="00E5624F"/>
    <w:rsid w:val="00F81F5A"/>
    <w:rsid w:val="00F8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2591E"/>
    <w:pPr>
      <w:suppressAutoHyphens/>
      <w:ind w:left="1080" w:hanging="1080"/>
    </w:pPr>
    <w:rPr>
      <w:rFonts w:ascii="Tahoma" w:hAnsi="Tahoma" w:cs="Tahoma"/>
      <w:sz w:val="22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2591E"/>
    <w:rPr>
      <w:rFonts w:ascii="Tahoma" w:eastAsia="Times New Roman" w:hAnsi="Tahoma" w:cs="Tahoma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4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FURG</cp:lastModifiedBy>
  <cp:revision>11</cp:revision>
  <dcterms:created xsi:type="dcterms:W3CDTF">2015-12-08T12:50:00Z</dcterms:created>
  <dcterms:modified xsi:type="dcterms:W3CDTF">2017-06-22T14:35:00Z</dcterms:modified>
</cp:coreProperties>
</file>